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51C6" w:rsidRPr="00C031BA" w:rsidRDefault="00B0506E" w:rsidP="00710D67">
      <w:pPr>
        <w:pBdr>
          <w:bottom w:val="single" w:sz="2" w:space="0" w:color="000000"/>
        </w:pBdr>
        <w:spacing w:after="20" w:line="240" w:lineRule="auto"/>
        <w:jc w:val="both"/>
        <w:rPr>
          <w:rFonts w:eastAsia="Times New Roman" w:cs="Calibri"/>
          <w:lang w:val="pt-BR"/>
        </w:rPr>
      </w:pPr>
      <w:r w:rsidRPr="00C031BA">
        <w:rPr>
          <w:rFonts w:cs="Calibri"/>
          <w:lang w:val="pt-BR"/>
        </w:rPr>
        <w:t xml:space="preserve">2. </w:t>
      </w:r>
      <w:r w:rsidR="00B32FCB" w:rsidRPr="00C031BA">
        <w:rPr>
          <w:rFonts w:cs="Calibri"/>
          <w:lang w:val="pt-BR"/>
        </w:rPr>
        <w:t>ORIENTAÇÕES E DIRETRIZES</w:t>
      </w:r>
    </w:p>
    <w:p w:rsidR="00DE51C6" w:rsidRPr="00C031BA" w:rsidRDefault="00DE51C6" w:rsidP="00710D67">
      <w:pPr>
        <w:spacing w:after="20" w:line="240" w:lineRule="auto"/>
        <w:jc w:val="both"/>
        <w:rPr>
          <w:rFonts w:eastAsia="Times New Roman" w:cs="Calibri"/>
          <w:lang w:val="pt-BR"/>
        </w:rPr>
      </w:pPr>
    </w:p>
    <w:p w:rsidR="00DE51C6" w:rsidRPr="00C031BA" w:rsidRDefault="00DE51C6" w:rsidP="00710D67">
      <w:pPr>
        <w:spacing w:after="20" w:line="240" w:lineRule="auto"/>
        <w:jc w:val="both"/>
        <w:rPr>
          <w:rFonts w:eastAsia="Times New Roman" w:cs="Calibri"/>
          <w:lang w:val="pt-BR"/>
        </w:rPr>
      </w:pPr>
    </w:p>
    <w:p w:rsidR="00DE51C6" w:rsidRPr="00251304" w:rsidRDefault="00B0506E" w:rsidP="00710D67">
      <w:pPr>
        <w:spacing w:after="20" w:line="240" w:lineRule="auto"/>
        <w:jc w:val="both"/>
        <w:rPr>
          <w:rFonts w:eastAsia="Times New Roman" w:cs="Calibri"/>
          <w:b/>
          <w:bCs/>
          <w:sz w:val="28"/>
          <w:szCs w:val="28"/>
          <w:lang w:val="pt-BR"/>
        </w:rPr>
      </w:pPr>
      <w:r w:rsidRPr="00251304">
        <w:rPr>
          <w:rFonts w:cs="Calibri"/>
          <w:b/>
          <w:bCs/>
          <w:sz w:val="28"/>
          <w:szCs w:val="28"/>
          <w:lang w:val="pt-BR"/>
        </w:rPr>
        <w:t>2.1</w:t>
      </w:r>
      <w:r w:rsidR="00CF3500" w:rsidRPr="00251304">
        <w:rPr>
          <w:rFonts w:cs="Calibri"/>
          <w:b/>
          <w:bCs/>
          <w:sz w:val="28"/>
          <w:szCs w:val="28"/>
          <w:lang w:val="pt-BR"/>
        </w:rPr>
        <w:t>. Diretrizes</w:t>
      </w:r>
      <w:r w:rsidR="00B32FCB" w:rsidRPr="00251304">
        <w:rPr>
          <w:rFonts w:cs="Calibri"/>
          <w:b/>
          <w:bCs/>
          <w:sz w:val="28"/>
          <w:szCs w:val="28"/>
          <w:lang w:val="pt-BR"/>
        </w:rPr>
        <w:t xml:space="preserve"> inspetoriais para a proteção dos menores</w:t>
      </w:r>
      <w:r w:rsidRPr="00251304">
        <w:rPr>
          <w:rFonts w:cs="Calibri"/>
          <w:b/>
          <w:bCs/>
          <w:sz w:val="28"/>
          <w:szCs w:val="28"/>
          <w:lang w:val="pt-BR"/>
        </w:rPr>
        <w:t xml:space="preserve"> (CG27 73.4)</w:t>
      </w:r>
    </w:p>
    <w:p w:rsidR="00DE51C6" w:rsidRPr="00C031BA" w:rsidRDefault="00DE51C6" w:rsidP="00710D67">
      <w:pPr>
        <w:spacing w:after="20" w:line="240" w:lineRule="auto"/>
        <w:jc w:val="both"/>
        <w:rPr>
          <w:rFonts w:eastAsia="Times New Roman" w:cs="Calibri"/>
          <w:lang w:val="pt-BR"/>
        </w:rPr>
      </w:pPr>
    </w:p>
    <w:p w:rsidR="00DE51C6" w:rsidRPr="00C031BA" w:rsidRDefault="00B32FCB" w:rsidP="00710D67">
      <w:pPr>
        <w:spacing w:after="20" w:line="240" w:lineRule="auto"/>
        <w:jc w:val="both"/>
        <w:rPr>
          <w:rFonts w:eastAsia="Times New Roman" w:cs="Calibri"/>
          <w:lang w:val="pt-BR"/>
        </w:rPr>
      </w:pPr>
      <w:r w:rsidRPr="00C031BA">
        <w:rPr>
          <w:rFonts w:cs="Calibri"/>
          <w:lang w:val="pt-BR"/>
        </w:rPr>
        <w:t>P.</w:t>
      </w:r>
      <w:r w:rsidR="00B0506E" w:rsidRPr="00C031BA">
        <w:rPr>
          <w:rFonts w:cs="Calibri"/>
          <w:lang w:val="pt-BR"/>
        </w:rPr>
        <w:t xml:space="preserve"> Francesco CEREDA</w:t>
      </w:r>
    </w:p>
    <w:p w:rsidR="00DE51C6" w:rsidRPr="00C031BA" w:rsidRDefault="00B32FCB" w:rsidP="00710D67">
      <w:pPr>
        <w:spacing w:after="20" w:line="240" w:lineRule="auto"/>
        <w:jc w:val="both"/>
        <w:rPr>
          <w:rFonts w:eastAsia="Times New Roman" w:cs="Calibri"/>
          <w:lang w:val="pt-BR"/>
        </w:rPr>
      </w:pPr>
      <w:r w:rsidRPr="00C031BA">
        <w:rPr>
          <w:rFonts w:cs="Calibri"/>
          <w:i/>
          <w:iCs/>
          <w:lang w:val="pt-BR"/>
        </w:rPr>
        <w:t>Vigário do Reitor-Mor</w:t>
      </w:r>
    </w:p>
    <w:p w:rsidR="00DE51C6" w:rsidRPr="00C031BA" w:rsidRDefault="00DE51C6" w:rsidP="00710D67">
      <w:pPr>
        <w:pStyle w:val="DidefaultA"/>
        <w:spacing w:after="20"/>
        <w:jc w:val="both"/>
        <w:rPr>
          <w:rFonts w:ascii="Calibri" w:eastAsia="Times New Roman" w:hAnsi="Calibri" w:cs="Calibri"/>
          <w:lang w:val="pt-BR"/>
        </w:rPr>
      </w:pPr>
    </w:p>
    <w:p w:rsidR="00B32FCB" w:rsidRPr="00C031BA" w:rsidRDefault="00B32FCB" w:rsidP="00710D67">
      <w:pPr>
        <w:pStyle w:val="Elencoacolori-Colore11"/>
        <w:spacing w:after="20" w:line="240" w:lineRule="auto"/>
        <w:ind w:left="0"/>
        <w:jc w:val="both"/>
        <w:rPr>
          <w:rFonts w:cs="Calibri"/>
          <w:lang w:val="pt-BR"/>
        </w:rPr>
      </w:pPr>
    </w:p>
    <w:p w:rsidR="00B32FCB" w:rsidRPr="00C031BA" w:rsidRDefault="00B32FCB" w:rsidP="00710D67">
      <w:pPr>
        <w:pStyle w:val="Elencoacolori-Colore11"/>
        <w:spacing w:after="20" w:line="240" w:lineRule="auto"/>
        <w:ind w:left="0" w:firstLine="284"/>
        <w:jc w:val="both"/>
        <w:rPr>
          <w:rFonts w:cs="Calibri"/>
          <w:lang w:val="pt-BR"/>
        </w:rPr>
      </w:pPr>
      <w:r w:rsidRPr="00C031BA">
        <w:rPr>
          <w:rFonts w:cs="Calibri"/>
          <w:lang w:val="pt-BR"/>
        </w:rPr>
        <w:t xml:space="preserve">Entre as tarefas do serviço aos jovens, o CG27 indica-nos a proteção dos menores. De modo especial, pede-nos para </w:t>
      </w:r>
      <w:r w:rsidR="002E5874" w:rsidRPr="00C031BA">
        <w:rPr>
          <w:rFonts w:cs="Calibri"/>
          <w:lang w:val="pt-BR"/>
        </w:rPr>
        <w:t>“Favorecer nos nossos ambientes um clima de respeito da dignidade dos menores, empenhando-nos para criar as condições que previnam qualquer forma de abuso e de violência, seguindo em cada Inspetoria as orientações e diretrizes do Reitor-Mor e do Conselho Geral” (CG27 73.4).</w:t>
      </w:r>
    </w:p>
    <w:p w:rsidR="002E5874" w:rsidRPr="00C031BA" w:rsidRDefault="002E5874" w:rsidP="00710D67">
      <w:pPr>
        <w:pStyle w:val="Elencoacolori-Colore11"/>
        <w:spacing w:after="20" w:line="240" w:lineRule="auto"/>
        <w:ind w:left="0" w:firstLine="284"/>
        <w:jc w:val="both"/>
        <w:rPr>
          <w:rFonts w:cs="Calibri"/>
          <w:lang w:val="pt-BR"/>
        </w:rPr>
      </w:pPr>
      <w:r w:rsidRPr="00C031BA">
        <w:rPr>
          <w:rFonts w:cs="Calibri"/>
          <w:lang w:val="pt-BR"/>
        </w:rPr>
        <w:t>Para concretizar essa tarefa, o Projeto do Reitor-Mor e do Conselho Geral para o sexênio, pede a</w:t>
      </w:r>
      <w:r w:rsidR="00503582" w:rsidRPr="00C031BA">
        <w:rPr>
          <w:rFonts w:cs="Calibri"/>
          <w:lang w:val="pt-BR"/>
        </w:rPr>
        <w:t>o</w:t>
      </w:r>
      <w:r w:rsidRPr="00C031BA">
        <w:rPr>
          <w:rFonts w:cs="Calibri"/>
          <w:lang w:val="pt-BR"/>
        </w:rPr>
        <w:t xml:space="preserve"> Vigário do Reitor-Mor que “ajude as Inspetorias a formular </w:t>
      </w:r>
      <w:r w:rsidR="00CF3500" w:rsidRPr="00C031BA">
        <w:rPr>
          <w:rFonts w:cs="Calibri"/>
          <w:lang w:val="pt-BR"/>
        </w:rPr>
        <w:t>diretrizes</w:t>
      </w:r>
      <w:r w:rsidRPr="00C031BA">
        <w:rPr>
          <w:rFonts w:cs="Calibri"/>
          <w:lang w:val="pt-BR"/>
        </w:rPr>
        <w:t xml:space="preserve"> para a salvaguarda e a proteção dos menores e para a prevenção dos casos de abuso”. Finalidade </w:t>
      </w:r>
      <w:r w:rsidR="003F48C2" w:rsidRPr="00C031BA">
        <w:rPr>
          <w:rFonts w:cs="Calibri"/>
          <w:lang w:val="pt-BR"/>
        </w:rPr>
        <w:t>desta</w:t>
      </w:r>
      <w:r w:rsidRPr="00C031BA">
        <w:rPr>
          <w:rFonts w:cs="Calibri"/>
          <w:lang w:val="pt-BR"/>
        </w:rPr>
        <w:t xml:space="preserve"> orientação é sensibilizar e solicitar às Inspetorias a elaboração dessas </w:t>
      </w:r>
      <w:r w:rsidR="00CF3500" w:rsidRPr="00C031BA">
        <w:rPr>
          <w:rFonts w:cs="Calibri"/>
          <w:lang w:val="pt-BR"/>
        </w:rPr>
        <w:t>diretrizes</w:t>
      </w:r>
      <w:r w:rsidRPr="00C031BA">
        <w:rPr>
          <w:rFonts w:cs="Calibri"/>
          <w:lang w:val="pt-BR"/>
        </w:rPr>
        <w:t>.</w:t>
      </w:r>
    </w:p>
    <w:p w:rsidR="002E5874" w:rsidRPr="00C031BA" w:rsidRDefault="00DC0CA2" w:rsidP="00710D67">
      <w:pPr>
        <w:pStyle w:val="Elencoacolori-Colore11"/>
        <w:spacing w:after="20" w:line="240" w:lineRule="auto"/>
        <w:ind w:left="0" w:firstLine="284"/>
        <w:jc w:val="both"/>
        <w:rPr>
          <w:rFonts w:cs="Calibri"/>
          <w:lang w:val="pt-BR"/>
        </w:rPr>
      </w:pPr>
      <w:r w:rsidRPr="00C031BA">
        <w:rPr>
          <w:rFonts w:cs="Calibri"/>
          <w:lang w:val="pt-BR"/>
        </w:rPr>
        <w:t>Na verdade, há Inspetorias que já o realizaram ou est</w:t>
      </w:r>
      <w:r w:rsidR="00503582" w:rsidRPr="00C031BA">
        <w:rPr>
          <w:rFonts w:cs="Calibri"/>
          <w:lang w:val="pt-BR"/>
        </w:rPr>
        <w:t>ão concretizando ess</w:t>
      </w:r>
      <w:r w:rsidRPr="00C031BA">
        <w:rPr>
          <w:rFonts w:cs="Calibri"/>
          <w:lang w:val="pt-BR"/>
        </w:rPr>
        <w:t>a tarefa, mas o recente encontro sobre a “Proteção dos menores na Igreja”, realizado no Vaticano nos dias 21-24 de fevereiro de 2019 com os Presidentes das Conferências episcopais do mundo todo e com os representantes dos Superiores e Superioras Gerais dos Institutos religiosos</w:t>
      </w:r>
      <w:r w:rsidR="00503582" w:rsidRPr="00C031BA">
        <w:rPr>
          <w:rFonts w:cs="Calibri"/>
          <w:lang w:val="pt-BR"/>
        </w:rPr>
        <w:t>,</w:t>
      </w:r>
      <w:r w:rsidRPr="00C031BA">
        <w:rPr>
          <w:rFonts w:cs="Calibri"/>
          <w:lang w:val="pt-BR"/>
        </w:rPr>
        <w:t xml:space="preserve"> empenha-nos a rever, aprofundar ou iniciar o processo de elaboração </w:t>
      </w:r>
      <w:r w:rsidR="00503582" w:rsidRPr="00C031BA">
        <w:rPr>
          <w:rFonts w:cs="Calibri"/>
          <w:lang w:val="pt-BR"/>
        </w:rPr>
        <w:t>dessas</w:t>
      </w:r>
      <w:r w:rsidRPr="00C031BA">
        <w:rPr>
          <w:rFonts w:cs="Calibri"/>
          <w:lang w:val="pt-BR"/>
        </w:rPr>
        <w:t xml:space="preserve"> </w:t>
      </w:r>
      <w:r w:rsidR="00CF3500" w:rsidRPr="00C031BA">
        <w:rPr>
          <w:rFonts w:cs="Calibri"/>
          <w:lang w:val="pt-BR"/>
        </w:rPr>
        <w:t>diretrizes</w:t>
      </w:r>
      <w:r w:rsidRPr="00C031BA">
        <w:rPr>
          <w:rFonts w:cs="Calibri"/>
          <w:lang w:val="pt-BR"/>
        </w:rPr>
        <w:t>.</w:t>
      </w:r>
    </w:p>
    <w:p w:rsidR="003B3A7D" w:rsidRPr="00C031BA" w:rsidRDefault="003B3A7D" w:rsidP="00710D67">
      <w:pPr>
        <w:pStyle w:val="Elencoacolori-Colore11"/>
        <w:spacing w:after="20" w:line="240" w:lineRule="auto"/>
        <w:ind w:left="0" w:firstLine="284"/>
        <w:jc w:val="both"/>
        <w:rPr>
          <w:rFonts w:cs="Calibri"/>
          <w:lang w:val="pt-BR"/>
        </w:rPr>
      </w:pPr>
    </w:p>
    <w:p w:rsidR="003B3A7D" w:rsidRPr="00C031BA" w:rsidRDefault="003B3A7D" w:rsidP="00710D67">
      <w:pPr>
        <w:pStyle w:val="Elencoacolori-Colore11"/>
        <w:spacing w:after="20" w:line="240" w:lineRule="auto"/>
        <w:ind w:left="0"/>
        <w:jc w:val="both"/>
        <w:rPr>
          <w:rFonts w:cs="Calibri"/>
          <w:lang w:val="pt-BR"/>
        </w:rPr>
      </w:pPr>
      <w:r w:rsidRPr="00C031BA">
        <w:rPr>
          <w:rFonts w:cs="Calibri"/>
          <w:b/>
          <w:lang w:val="pt-BR"/>
        </w:rPr>
        <w:t>1. Sugestões para os passos a dar</w:t>
      </w:r>
    </w:p>
    <w:p w:rsidR="003B3A7D" w:rsidRPr="00C031BA" w:rsidRDefault="003B3A7D" w:rsidP="00710D67">
      <w:pPr>
        <w:pStyle w:val="Elencoacolori-Colore11"/>
        <w:spacing w:after="20" w:line="240" w:lineRule="auto"/>
        <w:ind w:left="0" w:firstLine="284"/>
        <w:jc w:val="both"/>
        <w:rPr>
          <w:rFonts w:cs="Calibri"/>
          <w:lang w:val="pt-BR"/>
        </w:rPr>
      </w:pPr>
    </w:p>
    <w:p w:rsidR="003B3A7D" w:rsidRPr="00C031BA" w:rsidRDefault="003B3A7D" w:rsidP="00503582">
      <w:pPr>
        <w:pStyle w:val="Elencoacolori-Colore11"/>
        <w:spacing w:line="240" w:lineRule="auto"/>
        <w:ind w:left="0" w:firstLine="284"/>
        <w:jc w:val="both"/>
        <w:rPr>
          <w:lang w:val="pt-BR"/>
        </w:rPr>
      </w:pPr>
      <w:r w:rsidRPr="00C031BA">
        <w:rPr>
          <w:rFonts w:cs="Calibri"/>
          <w:lang w:val="pt-BR"/>
        </w:rPr>
        <w:t xml:space="preserve">A proteção dos menores não se reduz </w:t>
      </w:r>
      <w:r w:rsidR="00503582" w:rsidRPr="00C031BA">
        <w:rPr>
          <w:rFonts w:cs="Calibri"/>
          <w:lang w:val="pt-BR"/>
        </w:rPr>
        <w:t>ao</w:t>
      </w:r>
      <w:r w:rsidRPr="00C031BA">
        <w:rPr>
          <w:rFonts w:cs="Calibri"/>
          <w:lang w:val="pt-BR"/>
        </w:rPr>
        <w:t xml:space="preserve"> enfrentamento de alguma </w:t>
      </w:r>
      <w:proofErr w:type="spellStart"/>
      <w:r w:rsidRPr="00C031BA">
        <w:rPr>
          <w:rFonts w:cs="Calibri"/>
          <w:i/>
          <w:lang w:val="pt-BR"/>
        </w:rPr>
        <w:t>notitia</w:t>
      </w:r>
      <w:proofErr w:type="spellEnd"/>
      <w:r w:rsidRPr="00C031BA">
        <w:rPr>
          <w:rFonts w:cs="Calibri"/>
          <w:i/>
          <w:lang w:val="pt-BR"/>
        </w:rPr>
        <w:t xml:space="preserve"> criminis</w:t>
      </w:r>
      <w:r w:rsidRPr="00C031BA">
        <w:rPr>
          <w:rFonts w:cs="Calibri"/>
          <w:lang w:val="pt-BR"/>
        </w:rPr>
        <w:t xml:space="preserve"> relativa aos casos de violação do sexto mandamento do Decálogo </w:t>
      </w:r>
      <w:r w:rsidRPr="00C031BA">
        <w:rPr>
          <w:rFonts w:cs="Calibri"/>
          <w:i/>
          <w:lang w:val="pt-BR"/>
        </w:rPr>
        <w:t>cum minore.</w:t>
      </w:r>
      <w:r w:rsidRPr="00C031BA">
        <w:rPr>
          <w:lang w:val="pt-BR"/>
        </w:rPr>
        <w:t xml:space="preserve"> A nossa Congregação, desde 2002, preparou algumas orientações que se referem à escuta e ajuda às vítimas, ao apoio </w:t>
      </w:r>
      <w:r w:rsidR="00503582" w:rsidRPr="00C031BA">
        <w:rPr>
          <w:lang w:val="pt-BR"/>
        </w:rPr>
        <w:t>às</w:t>
      </w:r>
      <w:r w:rsidRPr="00C031BA">
        <w:rPr>
          <w:lang w:val="pt-BR"/>
        </w:rPr>
        <w:t xml:space="preserve"> suas famílias, à investigação prévia</w:t>
      </w:r>
      <w:r w:rsidR="009F3441" w:rsidRPr="00C031BA">
        <w:rPr>
          <w:lang w:val="pt-BR"/>
        </w:rPr>
        <w:t xml:space="preserve">. As Inspetorias aprenderam gradualmente a tratar desses casos, que exigem algum empenho para superar a cultura do silêncio, tornar mais rápida a investigação prévia, cuidar da relação com a comunicação, colaborar com a justiça. Estas ações são uma condição importante para </w:t>
      </w:r>
      <w:r w:rsidR="00503582" w:rsidRPr="00C031BA">
        <w:rPr>
          <w:lang w:val="pt-BR"/>
        </w:rPr>
        <w:t xml:space="preserve">a </w:t>
      </w:r>
      <w:r w:rsidR="009F3441" w:rsidRPr="00C031BA">
        <w:rPr>
          <w:lang w:val="pt-BR"/>
        </w:rPr>
        <w:t>credibilidade daqueles que,</w:t>
      </w:r>
      <w:r w:rsidR="00CE369D" w:rsidRPr="00C031BA">
        <w:rPr>
          <w:lang w:val="pt-BR"/>
        </w:rPr>
        <w:t xml:space="preserve"> como nós, afirmamos querer garantir “ambientes educativos seguros”, mas são necessárias outras intervenções.</w:t>
      </w:r>
    </w:p>
    <w:p w:rsidR="00CE369D" w:rsidRPr="00C031BA" w:rsidRDefault="00CE369D" w:rsidP="003F48C2">
      <w:pPr>
        <w:pStyle w:val="Elencoacolori-Colore11"/>
        <w:spacing w:line="240" w:lineRule="auto"/>
        <w:ind w:left="0" w:firstLine="284"/>
        <w:jc w:val="both"/>
        <w:rPr>
          <w:lang w:val="pt-BR"/>
        </w:rPr>
      </w:pPr>
      <w:r w:rsidRPr="00C031BA">
        <w:rPr>
          <w:lang w:val="pt-BR"/>
        </w:rPr>
        <w:t xml:space="preserve">Sugiro, pois, os </w:t>
      </w:r>
      <w:r w:rsidR="00545C15" w:rsidRPr="00C031BA">
        <w:rPr>
          <w:lang w:val="pt-BR"/>
        </w:rPr>
        <w:t xml:space="preserve">passos </w:t>
      </w:r>
      <w:r w:rsidRPr="00C031BA">
        <w:rPr>
          <w:lang w:val="pt-BR"/>
        </w:rPr>
        <w:t>seguintes.</w:t>
      </w:r>
    </w:p>
    <w:p w:rsidR="00DF6FFF" w:rsidRDefault="00CE369D" w:rsidP="00DF6FFF">
      <w:pPr>
        <w:pStyle w:val="Elencoacolori-Colore11"/>
        <w:spacing w:line="240" w:lineRule="auto"/>
        <w:ind w:left="0" w:firstLine="284"/>
        <w:jc w:val="both"/>
        <w:rPr>
          <w:rFonts w:cs="Calibri"/>
          <w:lang w:val="pt-BR"/>
        </w:rPr>
      </w:pPr>
      <w:r w:rsidRPr="00C031BA">
        <w:rPr>
          <w:lang w:val="pt-BR"/>
        </w:rPr>
        <w:t>O primeiro refere-se à leitura das relações do encontro vaticano sobre a “Proteção dos menores na Igreja”, de fevereiro passado, e do discurso conclusivo feito pelo Papa Francisco naquela ocasião, como também dos primeiros atos do próprio Sumo Pontífice depoi</w:t>
      </w:r>
      <w:r w:rsidR="0048094C" w:rsidRPr="00C031BA">
        <w:rPr>
          <w:lang w:val="pt-BR"/>
        </w:rPr>
        <w:t>s desse encontro</w:t>
      </w:r>
      <w:r w:rsidR="00545C15" w:rsidRPr="00C031BA">
        <w:rPr>
          <w:lang w:val="pt-BR"/>
        </w:rPr>
        <w:t>,</w:t>
      </w:r>
      <w:r w:rsidR="0048094C" w:rsidRPr="00C031BA">
        <w:rPr>
          <w:lang w:val="pt-BR"/>
        </w:rPr>
        <w:t xml:space="preserve"> com data de 26 de março de 2019: o </w:t>
      </w:r>
      <w:r w:rsidR="0048094C" w:rsidRPr="00C031BA">
        <w:rPr>
          <w:i/>
          <w:lang w:val="pt-BR"/>
        </w:rPr>
        <w:t xml:space="preserve">Motu </w:t>
      </w:r>
      <w:proofErr w:type="spellStart"/>
      <w:r w:rsidR="0048094C" w:rsidRPr="00C031BA">
        <w:rPr>
          <w:i/>
          <w:lang w:val="pt-BR"/>
        </w:rPr>
        <w:t>proprio</w:t>
      </w:r>
      <w:proofErr w:type="spellEnd"/>
      <w:r w:rsidR="0048094C" w:rsidRPr="00C031BA">
        <w:rPr>
          <w:i/>
          <w:lang w:val="pt-BR"/>
        </w:rPr>
        <w:t xml:space="preserve"> </w:t>
      </w:r>
      <w:r w:rsidR="0048094C" w:rsidRPr="00C031BA">
        <w:rPr>
          <w:lang w:val="pt-BR"/>
        </w:rPr>
        <w:t>sobre a proteção dos menores e das pessoas vulneráveis,</w:t>
      </w:r>
      <w:r w:rsidR="00FA4ACB" w:rsidRPr="00C031BA">
        <w:rPr>
          <w:rStyle w:val="Refdenotaderodap"/>
          <w:lang w:val="pt-BR"/>
        </w:rPr>
        <w:footnoteReference w:id="1"/>
      </w:r>
      <w:r w:rsidR="0048094C" w:rsidRPr="00C031BA">
        <w:rPr>
          <w:lang w:val="pt-BR"/>
        </w:rPr>
        <w:t xml:space="preserve"> a “Lei do Estado </w:t>
      </w:r>
      <w:r w:rsidR="00CF3500" w:rsidRPr="00C031BA">
        <w:rPr>
          <w:lang w:val="pt-BR"/>
        </w:rPr>
        <w:t xml:space="preserve">do Vaticano </w:t>
      </w:r>
      <w:r w:rsidR="0048094C" w:rsidRPr="00C031BA">
        <w:rPr>
          <w:lang w:val="pt-BR"/>
        </w:rPr>
        <w:t xml:space="preserve">N. </w:t>
      </w:r>
      <w:proofErr w:type="spellStart"/>
      <w:r w:rsidR="0048094C" w:rsidRPr="00C031BA">
        <w:rPr>
          <w:rFonts w:cs="Calibri"/>
          <w:lang w:val="pt-BR"/>
        </w:rPr>
        <w:t>CCXCVII</w:t>
      </w:r>
      <w:proofErr w:type="spellEnd"/>
      <w:r w:rsidR="0048094C" w:rsidRPr="00C031BA">
        <w:rPr>
          <w:rFonts w:cs="Calibri"/>
          <w:lang w:val="pt-BR"/>
        </w:rPr>
        <w:t>”</w:t>
      </w:r>
      <w:r w:rsidR="00FA4ACB" w:rsidRPr="00C031BA">
        <w:rPr>
          <w:rStyle w:val="Refdenotaderodap"/>
          <w:rFonts w:cs="Calibri"/>
          <w:lang w:val="pt-BR"/>
        </w:rPr>
        <w:footnoteReference w:id="2"/>
      </w:r>
      <w:r w:rsidR="0048094C" w:rsidRPr="00C031BA">
        <w:rPr>
          <w:rFonts w:cs="Calibri"/>
          <w:lang w:val="pt-BR"/>
        </w:rPr>
        <w:t xml:space="preserve"> sobre a proteção dos menores e das pessoas vulneráveis da Cidade do Estado do Vaticano, as “</w:t>
      </w:r>
      <w:r w:rsidR="00CF3500" w:rsidRPr="00C031BA">
        <w:rPr>
          <w:rFonts w:cs="Calibri"/>
          <w:lang w:val="pt-BR"/>
        </w:rPr>
        <w:t>Diretrizes</w:t>
      </w:r>
      <w:r w:rsidR="0048094C" w:rsidRPr="00C031BA">
        <w:rPr>
          <w:rFonts w:cs="Calibri"/>
          <w:lang w:val="pt-BR"/>
        </w:rPr>
        <w:t xml:space="preserve"> para a proteção dos menores e das pessoas vulneráveis” para o Vicariato da Cidade do Vaticano.</w:t>
      </w:r>
      <w:r w:rsidR="00FA4ACB" w:rsidRPr="00C031BA">
        <w:rPr>
          <w:rStyle w:val="Refdenotaderodap"/>
          <w:rFonts w:cs="Calibri"/>
          <w:lang w:val="pt-BR"/>
        </w:rPr>
        <w:footnoteReference w:id="3"/>
      </w:r>
      <w:r w:rsidR="0048094C" w:rsidRPr="00C031BA">
        <w:rPr>
          <w:rFonts w:cs="Calibri"/>
          <w:lang w:val="pt-BR"/>
        </w:rPr>
        <w:t xml:space="preserve"> </w:t>
      </w:r>
      <w:r w:rsidR="008E234E" w:rsidRPr="00C031BA">
        <w:rPr>
          <w:rFonts w:cs="Calibri"/>
          <w:lang w:val="pt-BR"/>
        </w:rPr>
        <w:t>É</w:t>
      </w:r>
      <w:r w:rsidR="0048094C" w:rsidRPr="00C031BA">
        <w:rPr>
          <w:rFonts w:cs="Calibri"/>
          <w:lang w:val="pt-BR"/>
        </w:rPr>
        <w:t xml:space="preserve"> preciso conhecer também os trabalhos da Pontifícia Comissão para a Tutela dos menores,</w:t>
      </w:r>
      <w:r w:rsidR="002267EF" w:rsidRPr="00C031BA">
        <w:rPr>
          <w:rStyle w:val="Refdenotaderodap"/>
          <w:rFonts w:cs="Calibri"/>
          <w:lang w:val="pt-BR"/>
        </w:rPr>
        <w:footnoteReference w:id="4"/>
      </w:r>
      <w:r w:rsidR="0048094C" w:rsidRPr="00C031BA">
        <w:rPr>
          <w:rFonts w:cs="Calibri"/>
          <w:lang w:val="pt-BR"/>
        </w:rPr>
        <w:t xml:space="preserve"> criada pelo Papa Francisco em março de 2014.</w:t>
      </w:r>
    </w:p>
    <w:p w:rsidR="00DF6FFF" w:rsidRPr="00835F21" w:rsidRDefault="00DF6FFF" w:rsidP="00DF6FFF">
      <w:pPr>
        <w:pStyle w:val="Elencoacolori-Colore11"/>
        <w:spacing w:line="240" w:lineRule="auto"/>
        <w:ind w:left="0" w:firstLine="284"/>
        <w:jc w:val="both"/>
        <w:rPr>
          <w:rFonts w:cs="Calibri"/>
          <w:lang w:val="pt-BR"/>
        </w:rPr>
      </w:pPr>
      <w:r>
        <w:rPr>
          <w:rFonts w:cs="Calibri"/>
          <w:lang w:val="pt-BR"/>
        </w:rPr>
        <w:t xml:space="preserve">Deve-se acrescentar </w:t>
      </w:r>
      <w:r w:rsidR="00FA0ED4">
        <w:rPr>
          <w:rFonts w:cs="Calibri"/>
          <w:lang w:val="pt-BR"/>
        </w:rPr>
        <w:t>ainda</w:t>
      </w:r>
      <w:r>
        <w:rPr>
          <w:rFonts w:cs="Calibri"/>
          <w:lang w:val="pt-BR"/>
        </w:rPr>
        <w:t xml:space="preserve"> a necessidade de </w:t>
      </w:r>
      <w:r w:rsidR="00835F21">
        <w:rPr>
          <w:rFonts w:cs="Calibri"/>
          <w:lang w:val="pt-BR"/>
        </w:rPr>
        <w:t>ter</w:t>
      </w:r>
      <w:r>
        <w:rPr>
          <w:rFonts w:cs="Calibri"/>
          <w:lang w:val="pt-BR"/>
        </w:rPr>
        <w:t xml:space="preserve"> em consideração o “Motu </w:t>
      </w:r>
      <w:proofErr w:type="spellStart"/>
      <w:r>
        <w:rPr>
          <w:rFonts w:cs="Calibri"/>
          <w:lang w:val="pt-BR"/>
        </w:rPr>
        <w:t>proprio</w:t>
      </w:r>
      <w:proofErr w:type="spellEnd"/>
      <w:r>
        <w:rPr>
          <w:rFonts w:cs="Calibri"/>
          <w:lang w:val="pt-BR"/>
        </w:rPr>
        <w:t xml:space="preserve">” do Papa, publicado em 7 de maio de 2019, intitulado </w:t>
      </w:r>
      <w:r>
        <w:rPr>
          <w:rFonts w:cs="Calibri"/>
          <w:i/>
          <w:lang w:val="pt-BR"/>
        </w:rPr>
        <w:t xml:space="preserve">“Vos </w:t>
      </w:r>
      <w:proofErr w:type="spellStart"/>
      <w:r>
        <w:rPr>
          <w:rFonts w:cs="Calibri"/>
          <w:i/>
          <w:lang w:val="pt-BR"/>
        </w:rPr>
        <w:t>estis</w:t>
      </w:r>
      <w:proofErr w:type="spellEnd"/>
      <w:r>
        <w:rPr>
          <w:rFonts w:cs="Calibri"/>
          <w:i/>
          <w:lang w:val="pt-BR"/>
        </w:rPr>
        <w:t xml:space="preserve"> lux </w:t>
      </w:r>
      <w:proofErr w:type="spellStart"/>
      <w:r>
        <w:rPr>
          <w:rFonts w:cs="Calibri"/>
          <w:i/>
          <w:lang w:val="pt-BR"/>
        </w:rPr>
        <w:t>mundi</w:t>
      </w:r>
      <w:proofErr w:type="spellEnd"/>
      <w:r>
        <w:rPr>
          <w:rFonts w:cs="Calibri"/>
          <w:i/>
          <w:lang w:val="pt-BR"/>
        </w:rPr>
        <w:t>”,</w:t>
      </w:r>
      <w:r w:rsidR="0061310A">
        <w:rPr>
          <w:rStyle w:val="Refdenotaderodap"/>
          <w:rFonts w:cs="Calibri"/>
          <w:i/>
          <w:lang w:val="pt-BR"/>
        </w:rPr>
        <w:footnoteReference w:id="5"/>
      </w:r>
      <w:r>
        <w:rPr>
          <w:rFonts w:cs="Calibri"/>
          <w:lang w:val="pt-BR"/>
        </w:rPr>
        <w:t xml:space="preserve"> sobre o modo de proceder nos casos de “</w:t>
      </w:r>
      <w:proofErr w:type="spellStart"/>
      <w:r>
        <w:rPr>
          <w:rFonts w:cs="Calibri"/>
          <w:lang w:val="pt-BR"/>
        </w:rPr>
        <w:t>notitia</w:t>
      </w:r>
      <w:proofErr w:type="spellEnd"/>
      <w:r>
        <w:rPr>
          <w:rFonts w:cs="Calibri"/>
          <w:lang w:val="pt-BR"/>
        </w:rPr>
        <w:t xml:space="preserve"> criminis” </w:t>
      </w:r>
      <w:r w:rsidR="00835F21">
        <w:rPr>
          <w:rFonts w:cs="Calibri"/>
          <w:lang w:val="pt-BR"/>
        </w:rPr>
        <w:t>relativa</w:t>
      </w:r>
      <w:r>
        <w:rPr>
          <w:rFonts w:cs="Calibri"/>
          <w:lang w:val="pt-BR"/>
        </w:rPr>
        <w:t xml:space="preserve"> </w:t>
      </w:r>
      <w:r w:rsidR="00835F21">
        <w:rPr>
          <w:rFonts w:cs="Calibri"/>
          <w:lang w:val="pt-BR"/>
        </w:rPr>
        <w:t>a</w:t>
      </w:r>
      <w:r>
        <w:rPr>
          <w:rFonts w:cs="Calibri"/>
          <w:lang w:val="pt-BR"/>
        </w:rPr>
        <w:t xml:space="preserve"> delitos contra o sexto mandamento do Decálogo. Para as Inspetorias tem um particular interesse tudo o que </w:t>
      </w:r>
      <w:r w:rsidR="00835F21">
        <w:rPr>
          <w:rFonts w:cs="Calibri"/>
          <w:lang w:val="pt-BR"/>
        </w:rPr>
        <w:t>é</w:t>
      </w:r>
      <w:r>
        <w:rPr>
          <w:rFonts w:cs="Calibri"/>
          <w:lang w:val="pt-BR"/>
        </w:rPr>
        <w:t xml:space="preserve"> explicitado no Título I sobre as “Disposições gerais” relativas à criação de um lugar </w:t>
      </w:r>
      <w:r>
        <w:rPr>
          <w:rFonts w:cs="Calibri"/>
          <w:lang w:val="pt-BR"/>
        </w:rPr>
        <w:lastRenderedPageBreak/>
        <w:t xml:space="preserve">acessível ao público para apresentar as </w:t>
      </w:r>
      <w:r w:rsidR="00ED60CD">
        <w:rPr>
          <w:rFonts w:cs="Calibri"/>
          <w:lang w:val="pt-BR"/>
        </w:rPr>
        <w:t>notícias</w:t>
      </w:r>
      <w:r>
        <w:rPr>
          <w:rFonts w:cs="Calibri"/>
          <w:lang w:val="pt-BR"/>
        </w:rPr>
        <w:t xml:space="preserve">, a obrigação da denúncia </w:t>
      </w:r>
      <w:r w:rsidR="00FA0ED4">
        <w:rPr>
          <w:rFonts w:cs="Calibri"/>
          <w:lang w:val="pt-BR"/>
        </w:rPr>
        <w:t xml:space="preserve">sobre um clérigo e de um membro de Instituto de Vida Consagrada, a tutela de quem apresenta a notícia, a acolhida e a escuta daqueles que se declaram </w:t>
      </w:r>
      <w:r w:rsidR="00ED60CD">
        <w:rPr>
          <w:rFonts w:cs="Calibri"/>
          <w:lang w:val="pt-BR"/>
        </w:rPr>
        <w:t>terem sido</w:t>
      </w:r>
      <w:r w:rsidR="00FA0ED4">
        <w:rPr>
          <w:rFonts w:cs="Calibri"/>
          <w:lang w:val="pt-BR"/>
        </w:rPr>
        <w:t xml:space="preserve"> ofendidos</w:t>
      </w:r>
      <w:r w:rsidR="00ED60CD">
        <w:rPr>
          <w:rFonts w:cs="Calibri"/>
          <w:lang w:val="pt-BR"/>
        </w:rPr>
        <w:t>,</w:t>
      </w:r>
      <w:r w:rsidR="00FA0ED4">
        <w:rPr>
          <w:rFonts w:cs="Calibri"/>
          <w:lang w:val="pt-BR"/>
        </w:rPr>
        <w:t xml:space="preserve"> com suas famílias. </w:t>
      </w:r>
      <w:r w:rsidR="003B7C53">
        <w:rPr>
          <w:rFonts w:cs="Calibri"/>
          <w:lang w:val="pt-BR"/>
        </w:rPr>
        <w:t xml:space="preserve">O “Motu </w:t>
      </w:r>
      <w:proofErr w:type="spellStart"/>
      <w:r w:rsidR="003B7C53">
        <w:rPr>
          <w:rFonts w:cs="Calibri"/>
          <w:lang w:val="pt-BR"/>
        </w:rPr>
        <w:t>proprio</w:t>
      </w:r>
      <w:proofErr w:type="spellEnd"/>
      <w:r w:rsidR="003B7C53">
        <w:rPr>
          <w:rFonts w:cs="Calibri"/>
          <w:lang w:val="pt-BR"/>
        </w:rPr>
        <w:t>” equipara ao menor a “pessoa vulnerável”, da qual dá uma clara definição no art. I §</w:t>
      </w:r>
      <w:proofErr w:type="gramStart"/>
      <w:r w:rsidR="003B7C53">
        <w:rPr>
          <w:rFonts w:cs="Calibri"/>
          <w:lang w:val="pt-BR"/>
        </w:rPr>
        <w:t>2 letra</w:t>
      </w:r>
      <w:proofErr w:type="gramEnd"/>
      <w:r w:rsidR="003B7C53">
        <w:rPr>
          <w:rFonts w:cs="Calibri"/>
          <w:lang w:val="pt-BR"/>
        </w:rPr>
        <w:t xml:space="preserve"> b. No Título II sobre as “Disposições relativas aos Bispos e equiparados” interessa </w:t>
      </w:r>
      <w:r w:rsidR="0044379C">
        <w:rPr>
          <w:rFonts w:cs="Calibri"/>
          <w:lang w:val="pt-BR"/>
        </w:rPr>
        <w:t xml:space="preserve">também </w:t>
      </w:r>
      <w:r w:rsidR="003B7C53">
        <w:rPr>
          <w:rFonts w:cs="Calibri"/>
          <w:lang w:val="pt-BR"/>
        </w:rPr>
        <w:t xml:space="preserve">às Inspetorias o que </w:t>
      </w:r>
      <w:r w:rsidR="0044379C">
        <w:rPr>
          <w:rFonts w:cs="Calibri"/>
          <w:lang w:val="pt-BR"/>
        </w:rPr>
        <w:t xml:space="preserve">diz sobre a observância das leis estatais (art. 19). Quanto à violação do sexto preceito do Decálogo com menores, </w:t>
      </w:r>
      <w:r w:rsidR="0044379C">
        <w:rPr>
          <w:rFonts w:cs="Calibri"/>
          <w:i/>
          <w:lang w:val="pt-BR"/>
        </w:rPr>
        <w:t xml:space="preserve">“Vos </w:t>
      </w:r>
      <w:proofErr w:type="spellStart"/>
      <w:r w:rsidR="0044379C">
        <w:rPr>
          <w:rFonts w:cs="Calibri"/>
          <w:i/>
          <w:lang w:val="pt-BR"/>
        </w:rPr>
        <w:t>estis</w:t>
      </w:r>
      <w:proofErr w:type="spellEnd"/>
      <w:r w:rsidR="0044379C">
        <w:rPr>
          <w:rFonts w:cs="Calibri"/>
          <w:i/>
          <w:lang w:val="pt-BR"/>
        </w:rPr>
        <w:t xml:space="preserve"> lux </w:t>
      </w:r>
      <w:proofErr w:type="spellStart"/>
      <w:r w:rsidR="0044379C">
        <w:rPr>
          <w:rFonts w:cs="Calibri"/>
          <w:i/>
          <w:lang w:val="pt-BR"/>
        </w:rPr>
        <w:t>mundi</w:t>
      </w:r>
      <w:proofErr w:type="spellEnd"/>
      <w:r w:rsidR="0044379C">
        <w:rPr>
          <w:rFonts w:cs="Calibri"/>
          <w:i/>
          <w:lang w:val="pt-BR"/>
        </w:rPr>
        <w:t>”</w:t>
      </w:r>
      <w:r w:rsidR="0044379C">
        <w:rPr>
          <w:rFonts w:cs="Calibri"/>
          <w:lang w:val="pt-BR"/>
        </w:rPr>
        <w:t xml:space="preserve"> não modifica </w:t>
      </w:r>
      <w:r w:rsidR="00ED60CD">
        <w:rPr>
          <w:rFonts w:cs="Calibri"/>
          <w:lang w:val="pt-BR"/>
        </w:rPr>
        <w:t xml:space="preserve">o ato concreto do </w:t>
      </w:r>
      <w:r w:rsidR="00835F21">
        <w:rPr>
          <w:rFonts w:cs="Calibri"/>
          <w:lang w:val="pt-BR"/>
        </w:rPr>
        <w:t xml:space="preserve">delito de que se fala no can. 1395 §2 CIC e o art. 6 § 1, n. 1 do Motu </w:t>
      </w:r>
      <w:proofErr w:type="spellStart"/>
      <w:r w:rsidR="00835F21">
        <w:rPr>
          <w:rFonts w:cs="Calibri"/>
          <w:lang w:val="pt-BR"/>
        </w:rPr>
        <w:t>proprio</w:t>
      </w:r>
      <w:proofErr w:type="spellEnd"/>
      <w:r w:rsidR="00835F21">
        <w:rPr>
          <w:rFonts w:cs="Calibri"/>
          <w:lang w:val="pt-BR"/>
        </w:rPr>
        <w:t xml:space="preserve"> </w:t>
      </w:r>
      <w:r w:rsidR="00835F21">
        <w:rPr>
          <w:rFonts w:cs="Calibri"/>
          <w:i/>
          <w:lang w:val="pt-BR"/>
        </w:rPr>
        <w:t>“</w:t>
      </w:r>
      <w:proofErr w:type="spellStart"/>
      <w:r w:rsidR="00835F21">
        <w:rPr>
          <w:rFonts w:cs="Calibri"/>
          <w:i/>
          <w:lang w:val="pt-BR"/>
        </w:rPr>
        <w:t>Sacramentorum</w:t>
      </w:r>
      <w:proofErr w:type="spellEnd"/>
      <w:r w:rsidR="00835F21">
        <w:rPr>
          <w:rFonts w:cs="Calibri"/>
          <w:i/>
          <w:lang w:val="pt-BR"/>
        </w:rPr>
        <w:t xml:space="preserve"> </w:t>
      </w:r>
      <w:proofErr w:type="spellStart"/>
      <w:r w:rsidR="00835F21">
        <w:rPr>
          <w:rFonts w:cs="Calibri"/>
          <w:i/>
          <w:lang w:val="pt-BR"/>
        </w:rPr>
        <w:t>sanc</w:t>
      </w:r>
      <w:r w:rsidR="00ED60CD">
        <w:rPr>
          <w:rFonts w:cs="Calibri"/>
          <w:i/>
          <w:lang w:val="pt-BR"/>
        </w:rPr>
        <w:t>t</w:t>
      </w:r>
      <w:r w:rsidR="00835F21">
        <w:rPr>
          <w:rFonts w:cs="Calibri"/>
          <w:i/>
          <w:lang w:val="pt-BR"/>
        </w:rPr>
        <w:t>itatis</w:t>
      </w:r>
      <w:proofErr w:type="spellEnd"/>
      <w:r w:rsidR="00835F21">
        <w:rPr>
          <w:rFonts w:cs="Calibri"/>
          <w:i/>
          <w:lang w:val="pt-BR"/>
        </w:rPr>
        <w:t xml:space="preserve"> tutela”.</w:t>
      </w:r>
      <w:r w:rsidR="00835F21">
        <w:rPr>
          <w:rFonts w:cs="Calibri"/>
          <w:lang w:val="pt-BR"/>
        </w:rPr>
        <w:t xml:space="preserve"> Fica também confirmado que o julgamento para os delitos deste gênero, se cometidos por um clérigo, é de competência da Congregação para a Doutrina da Fé</w:t>
      </w:r>
    </w:p>
    <w:p w:rsidR="0048094C" w:rsidRPr="00C031BA" w:rsidRDefault="0048094C" w:rsidP="003F48C2">
      <w:pPr>
        <w:pStyle w:val="Elencoacolori-Colore11"/>
        <w:spacing w:line="240" w:lineRule="auto"/>
        <w:ind w:left="0" w:firstLine="284"/>
        <w:jc w:val="both"/>
        <w:rPr>
          <w:rFonts w:cs="Calibri"/>
          <w:lang w:val="pt-BR"/>
        </w:rPr>
      </w:pPr>
      <w:r w:rsidRPr="00C031BA">
        <w:rPr>
          <w:rFonts w:cs="Calibri"/>
          <w:lang w:val="pt-BR"/>
        </w:rPr>
        <w:t xml:space="preserve">O segundo passo </w:t>
      </w:r>
      <w:r w:rsidR="00CF3500" w:rsidRPr="00C031BA">
        <w:rPr>
          <w:rFonts w:cs="Calibri"/>
          <w:lang w:val="pt-BR"/>
        </w:rPr>
        <w:t>é</w:t>
      </w:r>
      <w:r w:rsidRPr="00C031BA">
        <w:rPr>
          <w:rFonts w:cs="Calibri"/>
          <w:lang w:val="pt-BR"/>
        </w:rPr>
        <w:t xml:space="preserve"> ter como ponto de referência as “</w:t>
      </w:r>
      <w:r w:rsidR="00CF3500" w:rsidRPr="00C031BA">
        <w:rPr>
          <w:rFonts w:cs="Calibri"/>
          <w:lang w:val="pt-BR"/>
        </w:rPr>
        <w:t>Diretrizes</w:t>
      </w:r>
      <w:r w:rsidRPr="00C031BA">
        <w:rPr>
          <w:rFonts w:cs="Calibri"/>
          <w:lang w:val="pt-BR"/>
        </w:rPr>
        <w:t>” da própria Conferência episcopal</w:t>
      </w:r>
      <w:r w:rsidR="004F4EE4" w:rsidRPr="00C031BA">
        <w:rPr>
          <w:rFonts w:cs="Calibri"/>
          <w:lang w:val="pt-BR"/>
        </w:rPr>
        <w:t xml:space="preserve">, que são normativas para todas as Inspetorias, </w:t>
      </w:r>
      <w:r w:rsidR="00545C15" w:rsidRPr="00C031BA">
        <w:rPr>
          <w:rFonts w:cs="Calibri"/>
          <w:lang w:val="pt-BR"/>
        </w:rPr>
        <w:t>quando</w:t>
      </w:r>
      <w:r w:rsidR="004F4EE4" w:rsidRPr="00C031BA">
        <w:rPr>
          <w:rFonts w:cs="Calibri"/>
          <w:lang w:val="pt-BR"/>
        </w:rPr>
        <w:t xml:space="preserve"> enfrentam situações relacionadas ao próprio contexto cultural, adotando soluções comuns, sobretudo tendo presente a legislação civil e penal do País. Estas “Diretrizes” estão em processo de revisão </w:t>
      </w:r>
      <w:r w:rsidR="00545C15" w:rsidRPr="00C031BA">
        <w:rPr>
          <w:rFonts w:cs="Calibri"/>
          <w:lang w:val="pt-BR"/>
        </w:rPr>
        <w:t>pelas</w:t>
      </w:r>
      <w:r w:rsidR="004F4EE4" w:rsidRPr="00C031BA">
        <w:rPr>
          <w:rFonts w:cs="Calibri"/>
          <w:lang w:val="pt-BR"/>
        </w:rPr>
        <w:t xml:space="preserve"> Conferências episcopais e serão aprovadas pela Congregação para a Doutrina da Fé.</w:t>
      </w:r>
    </w:p>
    <w:p w:rsidR="004F4EE4" w:rsidRPr="00C031BA" w:rsidRDefault="004F4EE4" w:rsidP="003F48C2">
      <w:pPr>
        <w:pStyle w:val="Elencoacolori-Colore11"/>
        <w:spacing w:line="240" w:lineRule="auto"/>
        <w:ind w:left="0" w:firstLine="284"/>
        <w:jc w:val="both"/>
        <w:rPr>
          <w:lang w:val="pt-BR"/>
        </w:rPr>
      </w:pPr>
      <w:r w:rsidRPr="00C031BA">
        <w:rPr>
          <w:lang w:val="pt-BR"/>
        </w:rPr>
        <w:t xml:space="preserve">O terceiro passo consiste em individualizar o esquema dessas “Diretrizes”, confrontando-se no interior das Regiões ou das Conferências </w:t>
      </w:r>
      <w:r w:rsidR="003F48C2" w:rsidRPr="00C031BA">
        <w:rPr>
          <w:lang w:val="pt-BR"/>
        </w:rPr>
        <w:t>inspetoriais</w:t>
      </w:r>
      <w:r w:rsidRPr="00C031BA">
        <w:rPr>
          <w:lang w:val="pt-BR"/>
        </w:rPr>
        <w:t xml:space="preserve"> sob a guia do Conselheiro regional ou pedindo exemplos às Inspetorias que já fizeram esse trabalho. Por exemplo, as “Diretrizes para a proteção dos meno</w:t>
      </w:r>
      <w:r w:rsidR="008E234E" w:rsidRPr="00C031BA">
        <w:rPr>
          <w:lang w:val="pt-BR"/>
        </w:rPr>
        <w:t>re</w:t>
      </w:r>
      <w:r w:rsidRPr="00C031BA">
        <w:rPr>
          <w:lang w:val="pt-BR"/>
        </w:rPr>
        <w:t>s e das pessoas vulneráveis”</w:t>
      </w:r>
      <w:r w:rsidR="00B93D95" w:rsidRPr="00C031BA">
        <w:rPr>
          <w:lang w:val="pt-BR"/>
        </w:rPr>
        <w:t>,</w:t>
      </w:r>
      <w:r w:rsidRPr="00C031BA">
        <w:rPr>
          <w:lang w:val="pt-BR"/>
        </w:rPr>
        <w:t xml:space="preserve"> para o Vicariato da Cidade do Vaticano,</w:t>
      </w:r>
      <w:r w:rsidR="00264F5E" w:rsidRPr="00C031BA">
        <w:rPr>
          <w:rStyle w:val="Refdenotaderodap"/>
          <w:lang w:val="pt-BR"/>
        </w:rPr>
        <w:footnoteReference w:id="6"/>
      </w:r>
      <w:r w:rsidRPr="00C031BA">
        <w:rPr>
          <w:lang w:val="pt-BR"/>
        </w:rPr>
        <w:t xml:space="preserve"> publicadas pelo Papa Francisco</w:t>
      </w:r>
      <w:r w:rsidR="007A2122" w:rsidRPr="00C031BA">
        <w:rPr>
          <w:lang w:val="pt-BR"/>
        </w:rPr>
        <w:t xml:space="preserve">, relativas aos seguintes temas: o âmbito da aplicação, o referente para a tutela dos menores, os agentes pastorais, as atividades pastorais, o consentimento </w:t>
      </w:r>
      <w:r w:rsidR="004E1C0B" w:rsidRPr="00C031BA">
        <w:rPr>
          <w:lang w:val="pt-BR"/>
        </w:rPr>
        <w:t>expresso</w:t>
      </w:r>
      <w:r w:rsidR="007A2122" w:rsidRPr="00C031BA">
        <w:rPr>
          <w:lang w:val="pt-BR"/>
        </w:rPr>
        <w:t xml:space="preserve"> </w:t>
      </w:r>
      <w:r w:rsidR="004E1C0B" w:rsidRPr="00C031BA">
        <w:rPr>
          <w:lang w:val="pt-BR"/>
        </w:rPr>
        <w:t>dos</w:t>
      </w:r>
      <w:r w:rsidR="007A2122" w:rsidRPr="00C031BA">
        <w:rPr>
          <w:lang w:val="pt-BR"/>
        </w:rPr>
        <w:t xml:space="preserve"> pais ou tutores, o tratamento das indicações dos supostos casos de exploração, abuso sexual ou mau trato.</w:t>
      </w:r>
    </w:p>
    <w:p w:rsidR="007A2122" w:rsidRPr="00C031BA" w:rsidRDefault="007A2122" w:rsidP="003F48C2">
      <w:pPr>
        <w:pStyle w:val="Elencoacolori-Colore11"/>
        <w:spacing w:line="240" w:lineRule="auto"/>
        <w:ind w:left="0" w:firstLine="284"/>
        <w:jc w:val="both"/>
        <w:rPr>
          <w:lang w:val="pt-BR"/>
        </w:rPr>
      </w:pPr>
      <w:r w:rsidRPr="00C031BA">
        <w:rPr>
          <w:lang w:val="pt-BR"/>
        </w:rPr>
        <w:t>O quarto passo refere-se ao envolvimento das comunidades educativo-pastorais em seus vários componentes. Como se trata de garantir a criação de ambientes educativo-pastorais seguros, a comunidade educativo-pastoral deve ser envolvida desde os inícios do processo e não só na sua aplicação. Por esse motivo, acredita-se que não seja eficaz enviar às Inspetorias um modelo único a copiar e aplicar. As “Diretrizes inspetoriais” não são um</w:t>
      </w:r>
      <w:r w:rsidR="00264F5E" w:rsidRPr="00C031BA">
        <w:rPr>
          <w:lang w:val="pt-BR"/>
        </w:rPr>
        <w:t>a</w:t>
      </w:r>
      <w:r w:rsidRPr="00C031BA">
        <w:rPr>
          <w:lang w:val="pt-BR"/>
        </w:rPr>
        <w:t xml:space="preserve"> “</w:t>
      </w:r>
      <w:r w:rsidR="00C031BA" w:rsidRPr="00C031BA">
        <w:rPr>
          <w:lang w:val="pt-BR"/>
        </w:rPr>
        <w:t>incumbência</w:t>
      </w:r>
      <w:r w:rsidR="004E342F" w:rsidRPr="00C031BA">
        <w:rPr>
          <w:lang w:val="pt-BR"/>
        </w:rPr>
        <w:t xml:space="preserve"> burocrátic</w:t>
      </w:r>
      <w:r w:rsidR="00264F5E" w:rsidRPr="00C031BA">
        <w:rPr>
          <w:lang w:val="pt-BR"/>
        </w:rPr>
        <w:t>a</w:t>
      </w:r>
      <w:r w:rsidR="004E342F" w:rsidRPr="00C031BA">
        <w:rPr>
          <w:lang w:val="pt-BR"/>
        </w:rPr>
        <w:t xml:space="preserve">”: antes de ser um documento, elas são um “processo” que envolve na reflexão os irmãos, os leigos que estão em contato com os menores, os representantes do pais. </w:t>
      </w:r>
      <w:r w:rsidR="00C031BA" w:rsidRPr="00C031BA">
        <w:rPr>
          <w:lang w:val="pt-BR"/>
        </w:rPr>
        <w:t>E</w:t>
      </w:r>
      <w:r w:rsidR="004E342F" w:rsidRPr="00C031BA">
        <w:rPr>
          <w:lang w:val="pt-BR"/>
        </w:rPr>
        <w:t xml:space="preserve">sse “processo”, feito de reflexão, diálogo, </w:t>
      </w:r>
      <w:r w:rsidR="00251304">
        <w:rPr>
          <w:lang w:val="pt-BR"/>
        </w:rPr>
        <w:t>adequação</w:t>
      </w:r>
      <w:r w:rsidR="004E342F" w:rsidRPr="00C031BA">
        <w:rPr>
          <w:lang w:val="pt-BR"/>
        </w:rPr>
        <w:t xml:space="preserve"> às singulares situações e culturas, </w:t>
      </w:r>
      <w:r w:rsidR="00C031BA" w:rsidRPr="00C031BA">
        <w:rPr>
          <w:lang w:val="pt-BR"/>
        </w:rPr>
        <w:t xml:space="preserve">é </w:t>
      </w:r>
      <w:r w:rsidR="004E342F" w:rsidRPr="00C031BA">
        <w:rPr>
          <w:lang w:val="pt-BR"/>
        </w:rPr>
        <w:t>que faz crescer numa Inspetoria a sensibilidade e a cultura da prevenção.</w:t>
      </w:r>
    </w:p>
    <w:p w:rsidR="004E342F" w:rsidRPr="00C031BA" w:rsidRDefault="004E342F" w:rsidP="003F48C2">
      <w:pPr>
        <w:pStyle w:val="Elencoacolori-Colore11"/>
        <w:spacing w:line="240" w:lineRule="auto"/>
        <w:ind w:left="0" w:firstLine="284"/>
        <w:jc w:val="both"/>
        <w:rPr>
          <w:lang w:val="pt-BR"/>
        </w:rPr>
      </w:pPr>
      <w:r w:rsidRPr="00C031BA">
        <w:rPr>
          <w:lang w:val="pt-BR"/>
        </w:rPr>
        <w:t xml:space="preserve">O último passo consiste na aprovação </w:t>
      </w:r>
      <w:r w:rsidR="00C031BA" w:rsidRPr="00C031BA">
        <w:rPr>
          <w:lang w:val="pt-BR"/>
        </w:rPr>
        <w:t>das</w:t>
      </w:r>
      <w:r w:rsidRPr="00C031BA">
        <w:rPr>
          <w:lang w:val="pt-BR"/>
        </w:rPr>
        <w:t xml:space="preserve"> “Diretrizes inspetoriais” pelo Inspetor e seu Conselho inspetorial</w:t>
      </w:r>
      <w:r w:rsidR="00D951C6" w:rsidRPr="00C031BA">
        <w:rPr>
          <w:lang w:val="pt-BR"/>
        </w:rPr>
        <w:t>,</w:t>
      </w:r>
      <w:r w:rsidRPr="00C031BA">
        <w:rPr>
          <w:lang w:val="pt-BR"/>
        </w:rPr>
        <w:t xml:space="preserve"> e sua publicação. Tornar público este trabalho é também uma contribuição para o sempre maior crescimento </w:t>
      </w:r>
      <w:r w:rsidR="00D951C6" w:rsidRPr="00C031BA">
        <w:rPr>
          <w:lang w:val="pt-BR"/>
        </w:rPr>
        <w:t>na</w:t>
      </w:r>
      <w:r w:rsidRPr="00C031BA">
        <w:rPr>
          <w:lang w:val="pt-BR"/>
        </w:rPr>
        <w:t xml:space="preserve"> Igreja e na sociedade de uma maior sensibilidade para a proteção dos menores.</w:t>
      </w:r>
    </w:p>
    <w:p w:rsidR="00DE51C6" w:rsidRPr="00C031BA" w:rsidRDefault="00D951C6" w:rsidP="00710D67">
      <w:pPr>
        <w:pStyle w:val="Elencoacolori-Colore11"/>
        <w:spacing w:after="20" w:line="240" w:lineRule="auto"/>
        <w:ind w:left="0" w:firstLine="284"/>
        <w:jc w:val="both"/>
        <w:rPr>
          <w:lang w:val="pt-BR"/>
        </w:rPr>
      </w:pPr>
      <w:r w:rsidRPr="00C031BA">
        <w:rPr>
          <w:lang w:val="pt-BR"/>
        </w:rPr>
        <w:t xml:space="preserve">A proteção dos menores, </w:t>
      </w:r>
      <w:r w:rsidR="003F48C2" w:rsidRPr="00C031BA">
        <w:rPr>
          <w:lang w:val="pt-BR"/>
        </w:rPr>
        <w:t>não se reduz</w:t>
      </w:r>
      <w:r w:rsidR="00C031BA" w:rsidRPr="00C031BA">
        <w:rPr>
          <w:lang w:val="pt-BR"/>
        </w:rPr>
        <w:t>indo</w:t>
      </w:r>
      <w:r w:rsidR="003F48C2" w:rsidRPr="00C031BA">
        <w:rPr>
          <w:lang w:val="pt-BR"/>
        </w:rPr>
        <w:t xml:space="preserve"> ao</w:t>
      </w:r>
      <w:r w:rsidRPr="00C031BA">
        <w:rPr>
          <w:lang w:val="pt-BR"/>
        </w:rPr>
        <w:t xml:space="preserve"> enfrentamento de cada </w:t>
      </w:r>
      <w:proofErr w:type="spellStart"/>
      <w:r w:rsidRPr="00C031BA">
        <w:rPr>
          <w:i/>
          <w:lang w:val="pt-BR"/>
        </w:rPr>
        <w:t>notitia</w:t>
      </w:r>
      <w:proofErr w:type="spellEnd"/>
      <w:r w:rsidRPr="00C031BA">
        <w:rPr>
          <w:i/>
          <w:lang w:val="pt-BR"/>
        </w:rPr>
        <w:t xml:space="preserve"> criminis</w:t>
      </w:r>
      <w:r w:rsidRPr="00C031BA">
        <w:rPr>
          <w:lang w:val="pt-BR"/>
        </w:rPr>
        <w:t xml:space="preserve"> relativa aos casos de abuso de menores,</w:t>
      </w:r>
      <w:r w:rsidR="00C031BA" w:rsidRPr="00C031BA">
        <w:rPr>
          <w:lang w:val="pt-BR"/>
        </w:rPr>
        <w:t xml:space="preserve"> </w:t>
      </w:r>
      <w:r w:rsidRPr="00C031BA">
        <w:rPr>
          <w:lang w:val="pt-BR"/>
        </w:rPr>
        <w:t>também não pode reduzir-se a prevenir os casos de abuso. Sobre isso, o CG27 oferece uma orientação quando pede às Inspetorias para “promover e defender os direitos humanos e dos menores através da abordagem inovadora do Sistema Preventivo, dando atenção especial ao trabalho infantil e ao comércio sexual, à dependência das drogas e a todas as formas de abuso, à desocupação e migração juvenil e ao tráfico de pessoas”</w:t>
      </w:r>
      <w:r w:rsidR="00B0506E" w:rsidRPr="00C031BA">
        <w:rPr>
          <w:rFonts w:cs="Calibri"/>
          <w:lang w:val="pt-BR"/>
        </w:rPr>
        <w:t xml:space="preserve"> (CG27 73.3).</w:t>
      </w:r>
    </w:p>
    <w:p w:rsidR="00D951C6" w:rsidRPr="00C031BA" w:rsidRDefault="00D951C6" w:rsidP="00710D67">
      <w:pPr>
        <w:pStyle w:val="SemEspaamento"/>
        <w:spacing w:after="20"/>
        <w:rPr>
          <w:rFonts w:eastAsia="Times New Roman"/>
          <w:lang w:val="pt-BR"/>
        </w:rPr>
      </w:pPr>
    </w:p>
    <w:p w:rsidR="00DE51C6" w:rsidRPr="00C031BA" w:rsidRDefault="00B0506E" w:rsidP="00710D67">
      <w:pPr>
        <w:pStyle w:val="SemEspaamento"/>
        <w:spacing w:after="20"/>
        <w:rPr>
          <w:b/>
          <w:bCs/>
          <w:lang w:val="pt-BR"/>
        </w:rPr>
      </w:pPr>
      <w:r w:rsidRPr="00C031BA">
        <w:rPr>
          <w:b/>
          <w:bCs/>
          <w:lang w:val="pt-BR"/>
        </w:rPr>
        <w:t xml:space="preserve">2. </w:t>
      </w:r>
      <w:r w:rsidR="00D951C6" w:rsidRPr="00C031BA">
        <w:rPr>
          <w:b/>
          <w:bCs/>
          <w:lang w:val="pt-BR"/>
        </w:rPr>
        <w:t xml:space="preserve">Orientações </w:t>
      </w:r>
      <w:r w:rsidR="00251304">
        <w:rPr>
          <w:b/>
          <w:bCs/>
          <w:lang w:val="pt-BR"/>
        </w:rPr>
        <w:t>práticas</w:t>
      </w:r>
    </w:p>
    <w:p w:rsidR="00D951C6" w:rsidRPr="00C031BA" w:rsidRDefault="00D951C6" w:rsidP="00710D67">
      <w:pPr>
        <w:pStyle w:val="SemEspaamento"/>
        <w:spacing w:after="20"/>
        <w:ind w:firstLine="284"/>
        <w:rPr>
          <w:b/>
          <w:bCs/>
          <w:lang w:val="pt-BR"/>
        </w:rPr>
      </w:pPr>
    </w:p>
    <w:p w:rsidR="00D951C6" w:rsidRPr="00C031BA" w:rsidRDefault="00D951C6" w:rsidP="00251304">
      <w:pPr>
        <w:pStyle w:val="SemEspaamento"/>
        <w:spacing w:after="20"/>
        <w:ind w:firstLine="284"/>
        <w:jc w:val="both"/>
        <w:rPr>
          <w:bCs/>
          <w:lang w:val="pt-BR"/>
        </w:rPr>
      </w:pPr>
      <w:r w:rsidRPr="00C031BA">
        <w:rPr>
          <w:bCs/>
          <w:lang w:val="pt-BR"/>
        </w:rPr>
        <w:t xml:space="preserve">O </w:t>
      </w:r>
      <w:r w:rsidR="00251304">
        <w:rPr>
          <w:bCs/>
          <w:lang w:val="pt-BR"/>
        </w:rPr>
        <w:t>sujeito</w:t>
      </w:r>
      <w:r w:rsidR="001C2473" w:rsidRPr="00C031BA">
        <w:rPr>
          <w:bCs/>
          <w:lang w:val="pt-BR"/>
        </w:rPr>
        <w:t xml:space="preserve"> jurídico que leva ao processo e aprova as “Diretrizes inspetoriais para a proteção dos menores” é a Inspetoria; não são criadas, portanto, nem pelas comunidades educativo-pastorais nem pelas Conferências inspetoriais nem pela Região.</w:t>
      </w:r>
    </w:p>
    <w:p w:rsidR="001C2473" w:rsidRPr="00C031BA" w:rsidRDefault="001C2473" w:rsidP="00710D67">
      <w:pPr>
        <w:pStyle w:val="SemEspaamento"/>
        <w:spacing w:after="20"/>
        <w:ind w:firstLine="284"/>
        <w:jc w:val="both"/>
        <w:rPr>
          <w:bCs/>
          <w:lang w:val="pt-BR"/>
        </w:rPr>
      </w:pPr>
      <w:r w:rsidRPr="00C031BA">
        <w:rPr>
          <w:bCs/>
          <w:lang w:val="pt-BR"/>
        </w:rPr>
        <w:t xml:space="preserve">Parece oportuno que a Inspetoria crie uma comissão que estude e conduza o processo de envolvimento das comunidades educativo-pastorais na reflexão e deem a própria contribuição às “Diretrizes” inspetoriais. Será importante que iniciando este processo, a Inspetoria ofereça motivações aos irmãos e às comunidades </w:t>
      </w:r>
      <w:r w:rsidRPr="00C031BA">
        <w:rPr>
          <w:bCs/>
          <w:lang w:val="pt-BR"/>
        </w:rPr>
        <w:lastRenderedPageBreak/>
        <w:t>educativo-pastorais e ilustre para eles quais serão as fases da sua realização; ou seja, são necessários momentos e formação.</w:t>
      </w:r>
    </w:p>
    <w:p w:rsidR="00AD2F26" w:rsidRPr="00C031BA" w:rsidRDefault="00AD2F26" w:rsidP="00710D67">
      <w:pPr>
        <w:pStyle w:val="SemEspaamento"/>
        <w:spacing w:after="20"/>
        <w:ind w:firstLine="284"/>
        <w:jc w:val="both"/>
        <w:rPr>
          <w:bCs/>
          <w:lang w:val="pt-BR"/>
        </w:rPr>
      </w:pPr>
      <w:r w:rsidRPr="00C031BA">
        <w:rPr>
          <w:bCs/>
          <w:lang w:val="pt-BR"/>
        </w:rPr>
        <w:t xml:space="preserve">Como a responsabilidade cabe a cada Inspetoria, o Reitor-Mor e o Conselho Geral não darão aprovação </w:t>
      </w:r>
      <w:r w:rsidR="00F9781A">
        <w:rPr>
          <w:bCs/>
          <w:lang w:val="pt-BR"/>
        </w:rPr>
        <w:t>às</w:t>
      </w:r>
      <w:r w:rsidRPr="00C031BA">
        <w:rPr>
          <w:bCs/>
          <w:lang w:val="pt-BR"/>
        </w:rPr>
        <w:t xml:space="preserve"> “Diretrizes inspetoriais”. O Vigário do Reitor-Mor e o Escritório Jurídico poderão oferecer sugestões ou consultoria, mas </w:t>
      </w:r>
      <w:r w:rsidR="00F9781A">
        <w:rPr>
          <w:bCs/>
          <w:lang w:val="pt-BR"/>
        </w:rPr>
        <w:t>cada</w:t>
      </w:r>
      <w:r w:rsidRPr="00C031BA">
        <w:rPr>
          <w:bCs/>
          <w:lang w:val="pt-BR"/>
        </w:rPr>
        <w:t xml:space="preserve"> Inspetoria deverá decidir </w:t>
      </w:r>
      <w:r w:rsidR="00F9781A">
        <w:rPr>
          <w:bCs/>
          <w:lang w:val="pt-BR"/>
        </w:rPr>
        <w:t xml:space="preserve">sobre </w:t>
      </w:r>
      <w:r w:rsidRPr="00C031BA">
        <w:rPr>
          <w:bCs/>
          <w:lang w:val="pt-BR"/>
        </w:rPr>
        <w:t xml:space="preserve">as modalidades </w:t>
      </w:r>
      <w:r w:rsidR="00F9781A">
        <w:rPr>
          <w:bCs/>
          <w:lang w:val="pt-BR"/>
        </w:rPr>
        <w:t>da</w:t>
      </w:r>
      <w:r w:rsidRPr="00C031BA">
        <w:rPr>
          <w:bCs/>
          <w:lang w:val="pt-BR"/>
        </w:rPr>
        <w:t xml:space="preserve"> realização do processo e do envolvimento. Os Conselheiros regionais favorecerão momentos de estudo e diálogo especialmente na reunião dos Inspetores. </w:t>
      </w:r>
    </w:p>
    <w:p w:rsidR="00AD2F26" w:rsidRPr="00C031BA" w:rsidRDefault="00AD2F26" w:rsidP="00710D67">
      <w:pPr>
        <w:pStyle w:val="SemEspaamento"/>
        <w:spacing w:after="20"/>
        <w:ind w:firstLine="284"/>
        <w:jc w:val="both"/>
        <w:rPr>
          <w:bCs/>
          <w:lang w:val="pt-BR"/>
        </w:rPr>
      </w:pPr>
      <w:r w:rsidRPr="00C031BA">
        <w:rPr>
          <w:bCs/>
          <w:lang w:val="pt-BR"/>
        </w:rPr>
        <w:t xml:space="preserve">De modo especial, o Vigário do Reitor-Mor fará com que as </w:t>
      </w:r>
      <w:r w:rsidRPr="00C031BA">
        <w:rPr>
          <w:b/>
          <w:bCs/>
          <w:lang w:val="pt-BR"/>
        </w:rPr>
        <w:t>Inspetorias possam entregar este trabalho</w:t>
      </w:r>
      <w:r w:rsidR="00710D67" w:rsidRPr="00C031BA">
        <w:rPr>
          <w:b/>
          <w:bCs/>
          <w:lang w:val="pt-BR"/>
        </w:rPr>
        <w:t xml:space="preserve"> antes do próximo Capítulo Geral ou deem informações</w:t>
      </w:r>
      <w:r w:rsidR="00710D67" w:rsidRPr="00C031BA">
        <w:rPr>
          <w:bCs/>
          <w:lang w:val="pt-BR"/>
        </w:rPr>
        <w:t xml:space="preserve"> sobre o estado do processo em andamento, sobre os passos dados e os que se darão.</w:t>
      </w:r>
    </w:p>
    <w:p w:rsidR="001C2473" w:rsidRPr="00C031BA" w:rsidRDefault="001C2473" w:rsidP="00710D67">
      <w:pPr>
        <w:pStyle w:val="SemEspaamento"/>
        <w:spacing w:after="20"/>
        <w:ind w:firstLine="284"/>
        <w:rPr>
          <w:bCs/>
          <w:lang w:val="pt-BR"/>
        </w:rPr>
      </w:pPr>
    </w:p>
    <w:sectPr w:rsidR="001C2473" w:rsidRPr="00C031BA" w:rsidSect="008E234E">
      <w:footerReference w:type="default" r:id="rId6"/>
      <w:pgSz w:w="1190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12" w:rsidRDefault="00332D12">
      <w:pPr>
        <w:spacing w:after="0" w:line="240" w:lineRule="auto"/>
      </w:pPr>
      <w:r>
        <w:separator/>
      </w:r>
    </w:p>
  </w:endnote>
  <w:endnote w:type="continuationSeparator" w:id="0">
    <w:p w:rsidR="00332D12" w:rsidRDefault="0033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1C6" w:rsidRDefault="00B0506E">
    <w:pPr>
      <w:pStyle w:val="Rodap"/>
      <w:jc w:val="right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61310A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12" w:rsidRDefault="00332D12">
      <w:pPr>
        <w:spacing w:after="0" w:line="240" w:lineRule="auto"/>
      </w:pPr>
      <w:r>
        <w:separator/>
      </w:r>
    </w:p>
  </w:footnote>
  <w:footnote w:type="continuationSeparator" w:id="0">
    <w:p w:rsidR="00332D12" w:rsidRDefault="00332D12">
      <w:pPr>
        <w:spacing w:after="0" w:line="240" w:lineRule="auto"/>
      </w:pPr>
      <w:r>
        <w:continuationSeparator/>
      </w:r>
    </w:p>
  </w:footnote>
  <w:footnote w:id="1">
    <w:p w:rsidR="00FA4ACB" w:rsidRPr="0061310A" w:rsidRDefault="00FA4ACB">
      <w:pPr>
        <w:pStyle w:val="Textodenotaderodap"/>
        <w:rPr>
          <w:sz w:val="16"/>
          <w:szCs w:val="16"/>
          <w:lang w:val="pt-BR"/>
        </w:rPr>
      </w:pPr>
      <w:r w:rsidRPr="00F9781A">
        <w:rPr>
          <w:rStyle w:val="Refdenotaderodap"/>
          <w:sz w:val="18"/>
          <w:szCs w:val="18"/>
        </w:rPr>
        <w:footnoteRef/>
      </w:r>
      <w:r w:rsidRPr="00F9781A">
        <w:rPr>
          <w:sz w:val="18"/>
          <w:szCs w:val="18"/>
        </w:rPr>
        <w:t xml:space="preserve"> </w:t>
      </w:r>
      <w:hyperlink r:id="rId1" w:history="1">
        <w:r w:rsidRPr="0061310A">
          <w:rPr>
            <w:rStyle w:val="Hyperlink"/>
            <w:sz w:val="16"/>
            <w:szCs w:val="16"/>
            <w:u w:val="none"/>
          </w:rPr>
          <w:t>http://w2.vatican.va/content/francesco/pt/motu_proprio/documents/papa-francesco-motu-proprio-20190326_latutela-deiminori.html</w:t>
        </w:r>
      </w:hyperlink>
      <w:r w:rsidRPr="0061310A">
        <w:rPr>
          <w:sz w:val="16"/>
          <w:szCs w:val="16"/>
        </w:rPr>
        <w:t xml:space="preserve"> </w:t>
      </w:r>
    </w:p>
  </w:footnote>
  <w:footnote w:id="2">
    <w:p w:rsidR="00FA4ACB" w:rsidRPr="0061310A" w:rsidRDefault="00FA4ACB">
      <w:pPr>
        <w:pStyle w:val="Textodenotaderodap"/>
        <w:rPr>
          <w:sz w:val="16"/>
          <w:szCs w:val="16"/>
          <w:lang w:val="pt-BR"/>
        </w:rPr>
      </w:pPr>
      <w:r w:rsidRPr="0061310A">
        <w:rPr>
          <w:rStyle w:val="Refdenotaderodap"/>
          <w:sz w:val="16"/>
          <w:szCs w:val="16"/>
        </w:rPr>
        <w:footnoteRef/>
      </w:r>
      <w:r w:rsidRPr="0061310A">
        <w:rPr>
          <w:sz w:val="16"/>
          <w:szCs w:val="16"/>
          <w:lang w:val="pt-BR"/>
        </w:rPr>
        <w:t xml:space="preserve"> </w:t>
      </w:r>
      <w:hyperlink r:id="rId2" w:history="1">
        <w:r w:rsidRPr="0061310A">
          <w:rPr>
            <w:rStyle w:val="Hyperlink"/>
            <w:sz w:val="16"/>
            <w:szCs w:val="16"/>
            <w:u w:val="none"/>
            <w:lang w:val="pt-BR"/>
          </w:rPr>
          <w:t>http://www.vatican.va/resources/resources_protezioneminori-legge297_20190326_po.html</w:t>
        </w:r>
      </w:hyperlink>
    </w:p>
  </w:footnote>
  <w:footnote w:id="3">
    <w:p w:rsidR="00FA4ACB" w:rsidRPr="0061310A" w:rsidRDefault="00FA4ACB">
      <w:pPr>
        <w:pStyle w:val="Textodenotaderodap"/>
        <w:rPr>
          <w:sz w:val="16"/>
          <w:szCs w:val="16"/>
          <w:lang w:val="pt-BR"/>
        </w:rPr>
      </w:pPr>
      <w:r w:rsidRPr="0061310A">
        <w:rPr>
          <w:rStyle w:val="Refdenotaderodap"/>
          <w:sz w:val="16"/>
          <w:szCs w:val="16"/>
        </w:rPr>
        <w:footnoteRef/>
      </w:r>
      <w:r w:rsidRPr="0061310A">
        <w:rPr>
          <w:sz w:val="16"/>
          <w:szCs w:val="16"/>
          <w:lang w:val="pt-BR"/>
        </w:rPr>
        <w:t xml:space="preserve"> </w:t>
      </w:r>
      <w:hyperlink r:id="rId3" w:history="1">
        <w:r w:rsidRPr="0061310A">
          <w:rPr>
            <w:rStyle w:val="Hyperlink"/>
            <w:sz w:val="16"/>
            <w:szCs w:val="16"/>
            <w:u w:val="none"/>
            <w:lang w:val="pt-BR"/>
          </w:rPr>
          <w:t>http://www.vatican.va/resources/resources_protezioneminori-lineeguida_20190326_po.html</w:t>
        </w:r>
      </w:hyperlink>
    </w:p>
  </w:footnote>
  <w:footnote w:id="4">
    <w:p w:rsidR="002267EF" w:rsidRPr="0061310A" w:rsidRDefault="002267EF">
      <w:pPr>
        <w:pStyle w:val="Textodenotaderodap"/>
        <w:rPr>
          <w:sz w:val="16"/>
          <w:szCs w:val="16"/>
          <w:lang w:val="pt-BR"/>
        </w:rPr>
      </w:pPr>
      <w:r w:rsidRPr="0061310A">
        <w:rPr>
          <w:rStyle w:val="Refdenotaderodap"/>
          <w:sz w:val="16"/>
          <w:szCs w:val="16"/>
        </w:rPr>
        <w:footnoteRef/>
      </w:r>
      <w:r w:rsidRPr="0061310A">
        <w:rPr>
          <w:sz w:val="16"/>
          <w:szCs w:val="16"/>
          <w:lang w:val="pt-BR"/>
        </w:rPr>
        <w:t xml:space="preserve"> </w:t>
      </w:r>
      <w:hyperlink r:id="rId4" w:history="1">
        <w:r w:rsidRPr="0061310A">
          <w:rPr>
            <w:rStyle w:val="Hyperlink"/>
            <w:sz w:val="16"/>
            <w:szCs w:val="16"/>
            <w:u w:val="none"/>
            <w:lang w:val="pt-BR"/>
          </w:rPr>
          <w:t>http://www.protectionofminors.va/content/tuteladeiminori/it.html</w:t>
        </w:r>
      </w:hyperlink>
    </w:p>
  </w:footnote>
  <w:footnote w:id="5">
    <w:p w:rsidR="0061310A" w:rsidRPr="0061310A" w:rsidRDefault="0061310A">
      <w:pPr>
        <w:pStyle w:val="Textodenotaderodap"/>
        <w:rPr>
          <w:lang w:val="pt-BR"/>
        </w:rPr>
      </w:pPr>
      <w:bookmarkStart w:id="0" w:name="_GoBack"/>
      <w:r w:rsidRPr="0061310A">
        <w:rPr>
          <w:rStyle w:val="Refdenotaderodap"/>
          <w:sz w:val="16"/>
          <w:szCs w:val="16"/>
        </w:rPr>
        <w:footnoteRef/>
      </w:r>
      <w:r w:rsidRPr="0061310A">
        <w:rPr>
          <w:sz w:val="16"/>
          <w:szCs w:val="16"/>
          <w:lang w:val="pt-BR"/>
        </w:rPr>
        <w:t xml:space="preserve"> </w:t>
      </w:r>
      <w:hyperlink r:id="rId5" w:history="1">
        <w:r w:rsidRPr="0061310A">
          <w:rPr>
            <w:rStyle w:val="Hyperlink"/>
            <w:sz w:val="16"/>
            <w:szCs w:val="16"/>
            <w:u w:val="none"/>
            <w:lang w:val="pt-BR"/>
          </w:rPr>
          <w:t>http://w2.vatican.va/content/francesco/pt/motu_proprio/documents/papa-francesco-motu-proprio-20190507_vos-estis-lux-mundi.html</w:t>
        </w:r>
      </w:hyperlink>
    </w:p>
    <w:bookmarkEnd w:id="0"/>
  </w:footnote>
  <w:footnote w:id="6">
    <w:p w:rsidR="00264F5E" w:rsidRPr="00F9781A" w:rsidRDefault="00264F5E">
      <w:pPr>
        <w:pStyle w:val="Textodenotaderodap"/>
        <w:rPr>
          <w:sz w:val="18"/>
          <w:szCs w:val="18"/>
          <w:lang w:val="pt-BR"/>
        </w:rPr>
      </w:pPr>
      <w:r w:rsidRPr="00F9781A">
        <w:rPr>
          <w:rStyle w:val="Refdenotaderodap"/>
          <w:sz w:val="18"/>
          <w:szCs w:val="18"/>
        </w:rPr>
        <w:footnoteRef/>
      </w:r>
      <w:r w:rsidRPr="00F9781A">
        <w:rPr>
          <w:sz w:val="18"/>
          <w:szCs w:val="18"/>
          <w:lang w:val="pt-BR"/>
        </w:rPr>
        <w:t xml:space="preserve"> </w:t>
      </w:r>
      <w:hyperlink r:id="rId6" w:history="1">
        <w:r w:rsidRPr="00F9781A">
          <w:rPr>
            <w:rStyle w:val="Hyperlink"/>
            <w:sz w:val="18"/>
            <w:szCs w:val="18"/>
            <w:u w:val="none"/>
            <w:lang w:val="pt-BR"/>
          </w:rPr>
          <w:t>https://press.vatican.va/content/salastampa/it/bollettino/pubblico/2019/03/29/0260/00529.html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C6"/>
    <w:rsid w:val="001C2473"/>
    <w:rsid w:val="001D7DE7"/>
    <w:rsid w:val="002267EF"/>
    <w:rsid w:val="00251304"/>
    <w:rsid w:val="00264F5E"/>
    <w:rsid w:val="002C1CEC"/>
    <w:rsid w:val="002E5874"/>
    <w:rsid w:val="00332D12"/>
    <w:rsid w:val="0039498F"/>
    <w:rsid w:val="003B3A7D"/>
    <w:rsid w:val="003B7C53"/>
    <w:rsid w:val="003F48C2"/>
    <w:rsid w:val="0044379C"/>
    <w:rsid w:val="0048094C"/>
    <w:rsid w:val="004E1C0B"/>
    <w:rsid w:val="004E342F"/>
    <w:rsid w:val="004F4EE4"/>
    <w:rsid w:val="00503582"/>
    <w:rsid w:val="00545C15"/>
    <w:rsid w:val="0061310A"/>
    <w:rsid w:val="00692019"/>
    <w:rsid w:val="00705B33"/>
    <w:rsid w:val="00710D67"/>
    <w:rsid w:val="007A2122"/>
    <w:rsid w:val="00835F21"/>
    <w:rsid w:val="008606C3"/>
    <w:rsid w:val="00880B58"/>
    <w:rsid w:val="008C1AFA"/>
    <w:rsid w:val="008E234E"/>
    <w:rsid w:val="009A3DA9"/>
    <w:rsid w:val="009F3441"/>
    <w:rsid w:val="00A61B12"/>
    <w:rsid w:val="00AD2F26"/>
    <w:rsid w:val="00AF6ED8"/>
    <w:rsid w:val="00B0506E"/>
    <w:rsid w:val="00B32FCB"/>
    <w:rsid w:val="00B93D95"/>
    <w:rsid w:val="00C031BA"/>
    <w:rsid w:val="00C2274F"/>
    <w:rsid w:val="00CE369D"/>
    <w:rsid w:val="00CF3500"/>
    <w:rsid w:val="00D951C6"/>
    <w:rsid w:val="00DC0CA2"/>
    <w:rsid w:val="00DE51C6"/>
    <w:rsid w:val="00DF6FFF"/>
    <w:rsid w:val="00E0566E"/>
    <w:rsid w:val="00E220F1"/>
    <w:rsid w:val="00E65AA5"/>
    <w:rsid w:val="00ED60CD"/>
    <w:rsid w:val="00F9781A"/>
    <w:rsid w:val="00FA0ED4"/>
    <w:rsid w:val="00FA4ACB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F8188-9510-41A8-A39E-A3F983D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Elencoacolori-Colore11">
    <w:name w:val="Elenco a colori - Colore 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essunaspaziatura1">
    <w:name w:val="Nessuna spaziatura1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Recuodecorpodetexto3">
    <w:name w:val="Body Text Indent 3"/>
    <w:pPr>
      <w:spacing w:after="120" w:line="276" w:lineRule="auto"/>
      <w:ind w:left="283"/>
    </w:pPr>
    <w:rPr>
      <w:rFonts w:ascii="Calibri" w:hAnsi="Calibri" w:cs="Arial Unicode MS"/>
      <w:color w:val="000000"/>
      <w:sz w:val="16"/>
      <w:szCs w:val="16"/>
      <w:u w:color="000000"/>
      <w:lang w:val="en-US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4AC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4ACB"/>
    <w:rPr>
      <w:rFonts w:ascii="Calibri" w:hAnsi="Calibri" w:cs="Arial Unicode MS"/>
      <w:color w:val="000000"/>
      <w:u w:color="00000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A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tican.va/resources/resources_protezioneminori-lineeguida_20190326_po.html" TargetMode="External"/><Relationship Id="rId2" Type="http://schemas.openxmlformats.org/officeDocument/2006/relationships/hyperlink" Target="http://www.vatican.va/resources/resources_protezioneminori-legge297_20190326_po.html" TargetMode="External"/><Relationship Id="rId1" Type="http://schemas.openxmlformats.org/officeDocument/2006/relationships/hyperlink" Target="http://w2.vatican.va/content/francesco/pt/motu_proprio/documents/papa-francesco-motu-proprio-20190326_latutela-deiminori.html" TargetMode="External"/><Relationship Id="rId6" Type="http://schemas.openxmlformats.org/officeDocument/2006/relationships/hyperlink" Target="https://press.vatican.va/content/salastampa/it/bollettino/pubblico/2019/03/29/0260/00529.html" TargetMode="External"/><Relationship Id="rId5" Type="http://schemas.openxmlformats.org/officeDocument/2006/relationships/hyperlink" Target="http://w2.vatican.va/content/francesco/pt/motu_proprio/documents/papa-francesco-motu-proprio-20190507_vos-estis-lux-mundi.html" TargetMode="External"/><Relationship Id="rId4" Type="http://schemas.openxmlformats.org/officeDocument/2006/relationships/hyperlink" Target="http://www.protectionofminors.va/content/tuteladeiminori/it.htm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1304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Cereda Francesco</dc:creator>
  <cp:lastModifiedBy>José Antenor Velho</cp:lastModifiedBy>
  <cp:revision>7</cp:revision>
  <dcterms:created xsi:type="dcterms:W3CDTF">2019-05-09T08:42:00Z</dcterms:created>
  <dcterms:modified xsi:type="dcterms:W3CDTF">2019-05-21T20:53:00Z</dcterms:modified>
</cp:coreProperties>
</file>